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«Об установлении земельного налога</w:t>
      </w:r>
      <w:r>
        <w:rPr>
          <w:rFonts w:ascii="Times New Roman" w:hAnsi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21.11.2024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383</w:t>
      </w:r>
      <w:r>
        <w:rPr>
          <w:rFonts w:ascii="Times New Roman" w:hAnsi="Times New Roman"/>
          <w:sz w:val="24"/>
          <w:szCs w:val="24"/>
        </w:rPr>
        <w:t xml:space="preserve">)»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решени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 от 02.08.2005 № 15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«Об установлении земельного налога</w:t>
      </w:r>
      <w:r>
        <w:rPr>
          <w:rFonts w:ascii="Times New Roman" w:hAnsi="Times New Roman"/>
          <w:sz w:val="24"/>
          <w:szCs w:val="24"/>
        </w:rPr>
        <w:t xml:space="preserve">» (в ред. решения Думы Артемовского городског</w:t>
      </w:r>
      <w:r>
        <w:rPr>
          <w:rFonts w:ascii="Times New Roman" w:hAnsi="Times New Roman"/>
          <w:sz w:val="24"/>
          <w:szCs w:val="24"/>
        </w:rPr>
        <w:t xml:space="preserve">о округа от 21.11.2024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383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целях приведения в соответствие с требованиями  Федерального закона № 33-ФЗ «Об общих принципах организации местного самоуправления в единой системе публичной власти».</w:t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Л.Г. Асаржи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2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7">
    <w:name w:val="List Paragraph"/>
    <w:basedOn w:val="83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28</cp:revision>
  <dcterms:created xsi:type="dcterms:W3CDTF">2022-06-23T05:18:00Z</dcterms:created>
  <dcterms:modified xsi:type="dcterms:W3CDTF">2026-02-04T06:47:51Z</dcterms:modified>
</cp:coreProperties>
</file>